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0F99" w14:textId="34DD8F84" w:rsidR="00845BB8" w:rsidRPr="007409B2" w:rsidRDefault="00936DF1" w:rsidP="007409B2">
      <w:pPr>
        <w:jc w:val="both"/>
        <w:rPr>
          <w:rFonts w:ascii="Arial" w:eastAsiaTheme="majorEastAsia" w:hAnsi="Arial" w:cs="Arial"/>
          <w:b/>
          <w:i/>
          <w:iCs/>
          <w:color w:val="1F3763" w:themeColor="accent1" w:themeShade="7F"/>
          <w:sz w:val="28"/>
          <w:szCs w:val="28"/>
          <w:lang w:val="en-US"/>
        </w:rPr>
      </w:pPr>
      <w:r>
        <w:rPr>
          <w:rFonts w:ascii="Arial" w:eastAsiaTheme="majorEastAsia" w:hAnsi="Arial" w:cs="Arial"/>
          <w:b/>
          <w:i/>
          <w:iCs/>
          <w:color w:val="1F3763" w:themeColor="accent1" w:themeShade="7F"/>
          <w:sz w:val="28"/>
          <w:szCs w:val="28"/>
          <w:lang w:val="en-US"/>
        </w:rPr>
        <w:t>Local Government and Rural Development</w:t>
      </w:r>
      <w:r w:rsidR="006C2DFA">
        <w:rPr>
          <w:rFonts w:ascii="Arial" w:eastAsiaTheme="majorEastAsia" w:hAnsi="Arial" w:cs="Arial"/>
          <w:b/>
          <w:i/>
          <w:iCs/>
          <w:color w:val="1F3763" w:themeColor="accent1" w:themeShade="7F"/>
          <w:sz w:val="28"/>
          <w:szCs w:val="28"/>
          <w:lang w:val="en-US"/>
        </w:rPr>
        <w:t xml:space="preserve"> Department </w:t>
      </w:r>
    </w:p>
    <w:p w14:paraId="28F95C1D" w14:textId="77777777" w:rsidR="007409B2" w:rsidRPr="007409B2" w:rsidRDefault="007409B2" w:rsidP="007409B2">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014F9816" w14:textId="77777777" w:rsidR="007409B2" w:rsidRDefault="007409B2" w:rsidP="007409B2">
      <w:pPr>
        <w:pStyle w:val="Heading1"/>
      </w:pPr>
      <w:r>
        <w:t>Background</w:t>
      </w:r>
    </w:p>
    <w:p w14:paraId="658A2569" w14:textId="77777777" w:rsidR="007409B2" w:rsidRPr="00D63C20" w:rsidRDefault="007409B2" w:rsidP="007409B2">
      <w:pPr>
        <w:jc w:val="both"/>
        <w:rPr>
          <w:rFonts w:cstheme="minorHAnsi"/>
          <w:szCs w:val="20"/>
        </w:rPr>
      </w:pPr>
      <w:r w:rsidRPr="00D63C20">
        <w:rPr>
          <w:rFonts w:cstheme="minorHAnsi"/>
        </w:rPr>
        <w:t xml:space="preserve">Pakistan is a lower middle-income country with GDP at USD 284 billion. Pakistan’s contribution to global greenhouse gas emissions is </w:t>
      </w:r>
      <w:proofErr w:type="spellStart"/>
      <w:r w:rsidRPr="00D63C20">
        <w:rPr>
          <w:rFonts w:cstheme="minorHAnsi"/>
        </w:rPr>
        <w:t>meager</w:t>
      </w:r>
      <w:proofErr w:type="spellEnd"/>
      <w:r w:rsidRPr="00D63C20">
        <w:rPr>
          <w:rFonts w:cstheme="minorHAnsi"/>
        </w:rPr>
        <w:t xml:space="preserve">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w:t>
      </w:r>
      <w:proofErr w:type="spellStart"/>
      <w:r w:rsidRPr="00D63C20">
        <w:rPr>
          <w:rFonts w:cstheme="minorHAnsi"/>
        </w:rPr>
        <w:t>GLOFs</w:t>
      </w:r>
      <w:proofErr w:type="spellEnd"/>
      <w:r w:rsidRPr="00D63C20">
        <w:rPr>
          <w:rFonts w:cstheme="minorHAnsi"/>
        </w:rPr>
        <w:t xml:space="preserve">)); </w:t>
      </w:r>
      <w:proofErr w:type="gramStart"/>
      <w:r w:rsidRPr="00D63C20">
        <w:rPr>
          <w:rFonts w:cstheme="minorHAnsi"/>
        </w:rPr>
        <w:t>consequently</w:t>
      </w:r>
      <w:proofErr w:type="gramEnd"/>
      <w:r w:rsidRPr="00D63C20">
        <w:rPr>
          <w:rFonts w:cstheme="minorHAnsi"/>
        </w:rPr>
        <w:t xml:space="preserve"> impacting livelihood and food security. In addition, Pakistan’s air quality has been significantly worsening accounting for PKR 62-65 Billion losses annually. </w:t>
      </w:r>
      <w:r>
        <w:rPr>
          <w:rFonts w:cstheme="minorHAnsi"/>
        </w:rPr>
        <w:t>Government of Pakistan (</w:t>
      </w:r>
      <w:proofErr w:type="spellStart"/>
      <w:r>
        <w:rPr>
          <w:rFonts w:cstheme="minorHAnsi"/>
        </w:rPr>
        <w:t>GoP</w:t>
      </w:r>
      <w:proofErr w:type="spellEnd"/>
      <w:r>
        <w:rPr>
          <w:rFonts w:cstheme="minorHAnsi"/>
        </w:rPr>
        <w:t>) has lately taken multiple actions to respond to air pollution and climate change in an integrated manner and plans to continue the efforts through focused interventions.</w:t>
      </w:r>
    </w:p>
    <w:p w14:paraId="7FCA076E" w14:textId="77777777" w:rsidR="007409B2" w:rsidRDefault="007409B2" w:rsidP="007409B2">
      <w:pPr>
        <w:pStyle w:val="Heading2"/>
      </w:pPr>
      <w:r>
        <w:t>Paris Agreement and Pakistan’s Contribution</w:t>
      </w:r>
    </w:p>
    <w:p w14:paraId="0BFE5C5E" w14:textId="39AEAB2D" w:rsidR="007409B2" w:rsidRPr="007409B2" w:rsidRDefault="007409B2" w:rsidP="007409B2">
      <w:pPr>
        <w:jc w:val="both"/>
        <w:rPr>
          <w:rFonts w:ascii="Times New Roman" w:hAnsi="Times New Roman"/>
          <w:color w:val="000000" w:themeColor="text1"/>
          <w:shd w:val="clear" w:color="auto" w:fill="FFFFFF"/>
          <w:lang w:val="en-US"/>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w:t>
      </w:r>
      <w:proofErr w:type="spellStart"/>
      <w:r w:rsidRPr="0043705D">
        <w:rPr>
          <w:color w:val="000000" w:themeColor="text1"/>
        </w:rPr>
        <w:t>MoCC</w:t>
      </w:r>
      <w:proofErr w:type="spellEnd"/>
      <w:r w:rsidRPr="0043705D">
        <w:rPr>
          <w:color w:val="000000" w:themeColor="text1"/>
        </w:rPr>
        <w:t xml:space="preserve">) submitted </w:t>
      </w:r>
      <w:r>
        <w:rPr>
          <w:color w:val="000000" w:themeColor="text1"/>
        </w:rPr>
        <w:t xml:space="preserve">Pakistan’s updated </w:t>
      </w:r>
      <w:proofErr w:type="spellStart"/>
      <w:r>
        <w:rPr>
          <w:color w:val="000000" w:themeColor="text1"/>
        </w:rPr>
        <w:t>NDCs</w:t>
      </w:r>
      <w:proofErr w:type="spellEnd"/>
      <w:r>
        <w:rPr>
          <w:color w:val="000000" w:themeColor="text1"/>
        </w:rPr>
        <w:t xml:space="preserve"> in 2021. Aimed at achieving reduced poverty and ensuring stable economy, the updated </w:t>
      </w:r>
      <w:proofErr w:type="spellStart"/>
      <w:r>
        <w:rPr>
          <w:color w:val="000000" w:themeColor="text1"/>
        </w:rPr>
        <w:t>NDCs</w:t>
      </w:r>
      <w:proofErr w:type="spellEnd"/>
      <w:r>
        <w:rPr>
          <w:color w:val="000000" w:themeColor="text1"/>
        </w:rPr>
        <w:t xml:space="preserve">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Pakistan commits to enhance its reliance on Nature-based Solutions (</w:t>
      </w:r>
      <w:proofErr w:type="spellStart"/>
      <w:r>
        <w:rPr>
          <w:color w:val="000000" w:themeColor="text1"/>
        </w:rPr>
        <w:t>NbS</w:t>
      </w:r>
      <w:proofErr w:type="spellEnd"/>
      <w:r>
        <w:rPr>
          <w:color w:val="000000" w:themeColor="text1"/>
        </w:rPr>
        <w:t xml:space="preserve">)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lang w:val="en-US"/>
        </w:rPr>
        <w:t>.</w:t>
      </w:r>
    </w:p>
    <w:p w14:paraId="382A48E2" w14:textId="77777777" w:rsidR="007409B2" w:rsidRPr="00325367" w:rsidRDefault="007409B2" w:rsidP="007409B2">
      <w:pPr>
        <w:ind w:firstLine="360"/>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 xml:space="preserve">Pakistan’s adaptation cost ranges of between US$ 7–14 billion per annum to 2050. Financing these initiatives is considered a challenge in </w:t>
      </w:r>
      <w:proofErr w:type="spellStart"/>
      <w:r w:rsidRPr="00677666">
        <w:rPr>
          <w:color w:val="000000" w:themeColor="text1"/>
        </w:rPr>
        <w:t>NDCs</w:t>
      </w:r>
      <w:proofErr w:type="spellEnd"/>
      <w:r w:rsidRPr="00677666">
        <w:rPr>
          <w:color w:val="000000" w:themeColor="text1"/>
        </w:rPr>
        <w:t xml:space="preserve"> and Pakistan in the </w:t>
      </w:r>
      <w:proofErr w:type="spellStart"/>
      <w:r w:rsidRPr="00677666">
        <w:rPr>
          <w:color w:val="000000" w:themeColor="text1"/>
        </w:rPr>
        <w:t>NDCs</w:t>
      </w:r>
      <w:proofErr w:type="spellEnd"/>
      <w:r w:rsidRPr="00677666">
        <w:rPr>
          <w:color w:val="000000" w:themeColor="text1"/>
        </w:rPr>
        <w:t xml:space="preserve"> commits to employing the instruments on enhanced ambition provided in Article 6 of the </w:t>
      </w:r>
      <w:r w:rsidRPr="00677666">
        <w:rPr>
          <w:color w:val="000000" w:themeColor="text1"/>
        </w:rPr>
        <w:lastRenderedPageBreak/>
        <w:t>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493ACB8F" w14:textId="77777777" w:rsidR="007409B2" w:rsidRDefault="007409B2" w:rsidP="001627E0">
      <w:pPr>
        <w:pStyle w:val="Heading1"/>
        <w:spacing w:before="240"/>
      </w:pPr>
      <w:r>
        <w:t>NDC Implementation</w:t>
      </w:r>
    </w:p>
    <w:p w14:paraId="6B61CBD5" w14:textId="7CE9B41C" w:rsidR="007409B2" w:rsidRPr="007409B2" w:rsidRDefault="007409B2" w:rsidP="007409B2">
      <w:pPr>
        <w:pStyle w:val="Heading2"/>
      </w:pPr>
      <w:r>
        <w:t>Strategic objectives</w:t>
      </w:r>
    </w:p>
    <w:p w14:paraId="21D5AC3B" w14:textId="77777777" w:rsidR="007409B2" w:rsidRPr="00D00BA8" w:rsidRDefault="007409B2" w:rsidP="007409B2">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1D3D2508"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4DC27654"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61A557A9" w14:textId="7FBAFCF8" w:rsidR="007409B2" w:rsidRPr="007409B2" w:rsidRDefault="007409B2" w:rsidP="007409B2">
      <w:pPr>
        <w:pStyle w:val="ListParagraph"/>
        <w:numPr>
          <w:ilvl w:val="0"/>
          <w:numId w:val="1"/>
        </w:numPr>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4BE1871A" w14:textId="4387A3CA" w:rsidR="007409B2" w:rsidRDefault="007409B2" w:rsidP="007409B2">
      <w:pPr>
        <w:pStyle w:val="Heading3"/>
      </w:pPr>
      <w:r>
        <w:t xml:space="preserve">Provincial Chapters </w:t>
      </w:r>
    </w:p>
    <w:p w14:paraId="2608C318" w14:textId="77777777" w:rsidR="007409B2" w:rsidRDefault="007409B2" w:rsidP="007409B2">
      <w:pPr>
        <w:jc w:val="both"/>
      </w:pPr>
      <w:r w:rsidRPr="004F6024">
        <w:t xml:space="preserve">The 18th amendment to Pakistan’s constitution in 2010 has led to delegating more power to provinces. </w:t>
      </w:r>
      <w:proofErr w:type="spellStart"/>
      <w:r w:rsidRPr="004F6024">
        <w:t>MoCC</w:t>
      </w:r>
      <w:proofErr w:type="spellEnd"/>
      <w:r w:rsidRPr="004F6024">
        <w:t xml:space="preserve">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w:t>
      </w:r>
      <w:proofErr w:type="gramStart"/>
      <w:r w:rsidRPr="004F6024">
        <w:t>and in some cases</w:t>
      </w:r>
      <w:proofErr w:type="gramEnd"/>
      <w:r w:rsidRPr="004F6024">
        <w:t xml:space="preserve"> provincial and local capacities are limited on climate change concepts, </w:t>
      </w:r>
      <w:proofErr w:type="spellStart"/>
      <w:r w:rsidRPr="004F6024">
        <w:t>MoCC</w:t>
      </w:r>
      <w:proofErr w:type="spellEnd"/>
      <w:r w:rsidRPr="004F6024">
        <w:t xml:space="preserve"> understands the need for provinces to adopt </w:t>
      </w:r>
      <w:proofErr w:type="spellStart"/>
      <w:r w:rsidRPr="004F6024">
        <w:t>NDCs</w:t>
      </w:r>
      <w:proofErr w:type="spellEnd"/>
      <w:r w:rsidRPr="004F6024">
        <w:t xml:space="preserve">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3931309B"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Taking stock of the NDC sectors at sub-national level which will essentially cover the understanding of what targets are being committed in </w:t>
      </w:r>
      <w:proofErr w:type="spellStart"/>
      <w:r w:rsidRPr="00325367">
        <w:rPr>
          <w:i/>
          <w:iCs/>
          <w:color w:val="000000" w:themeColor="text1"/>
        </w:rPr>
        <w:t>NDCs</w:t>
      </w:r>
      <w:proofErr w:type="spellEnd"/>
      <w:r w:rsidRPr="00325367">
        <w:rPr>
          <w:i/>
          <w:iCs/>
          <w:color w:val="000000" w:themeColor="text1"/>
        </w:rPr>
        <w:t xml:space="preserve"> and how provincial level policy instruments and actions will be implemented. This will also require identification of gaps for regular stock-taking to report back to UNFCCC.</w:t>
      </w:r>
    </w:p>
    <w:p w14:paraId="2F228FB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human and information capacities required for NDC implementation for prioritized actions in priority sectors which will help devise a plan to build capacity in both short and long terms.</w:t>
      </w:r>
    </w:p>
    <w:p w14:paraId="5BEF238F"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Assessing the policy instruments and institutional readiness for implementing the NDC which will cover analysis of different mitigation and adaptation policy instruments and deciding most </w:t>
      </w:r>
      <w:r w:rsidRPr="00325367">
        <w:rPr>
          <w:i/>
          <w:iCs/>
          <w:color w:val="000000" w:themeColor="text1"/>
        </w:rPr>
        <w:lastRenderedPageBreak/>
        <w:t>suitable approach to attain desired NDC outcomes. This will also require an overhaul of existing practices in terms of policies as well as roles and responsibilities among different economic sectors based on addressing bottle-necks to NDC implementation.</w:t>
      </w:r>
    </w:p>
    <w:p w14:paraId="00340FE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6851BF91"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Mapping the financial support which will then inform national climate finance framework</w:t>
      </w:r>
    </w:p>
    <w:p w14:paraId="232F0A8D"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Monitoring progress and reporting back to </w:t>
      </w:r>
      <w:proofErr w:type="spellStart"/>
      <w:r w:rsidRPr="00325367">
        <w:rPr>
          <w:i/>
          <w:iCs/>
          <w:color w:val="000000" w:themeColor="text1"/>
        </w:rPr>
        <w:t>MoCC</w:t>
      </w:r>
      <w:proofErr w:type="spellEnd"/>
      <w:r w:rsidRPr="00325367">
        <w:rPr>
          <w:i/>
          <w:iCs/>
          <w:color w:val="000000" w:themeColor="text1"/>
        </w:rPr>
        <w:t xml:space="preserve"> on decided set of indicators consistent and captured within the national inventory, BTR reporting, and feed into the Paris Agreement’s global stocktake</w:t>
      </w:r>
    </w:p>
    <w:p w14:paraId="4DF24EE9" w14:textId="5F070AA7" w:rsidR="007409B2" w:rsidRPr="007409B2" w:rsidRDefault="007409B2" w:rsidP="007409B2">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625F870B" w14:textId="6813EA0E" w:rsidR="007409B2" w:rsidRDefault="007409B2" w:rsidP="007409B2">
      <w:pPr>
        <w:jc w:val="both"/>
      </w:pPr>
      <w:r w:rsidRPr="00745B23">
        <w:rPr>
          <w:b/>
          <w:bCs/>
        </w:rPr>
        <w:t>Gilgit Baltistan and Azad Jammu and Kashmir</w:t>
      </w:r>
      <w:r>
        <w:t xml:space="preserve">: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w:t>
      </w:r>
      <w:proofErr w:type="spellStart"/>
      <w:r>
        <w:t>GLOFs</w:t>
      </w:r>
      <w:proofErr w:type="spellEnd"/>
      <w:r>
        <w:t>, flash floods, avalanches, heatwaves etc</w:t>
      </w:r>
      <w:r>
        <w:rPr>
          <w:lang w:val="en-US"/>
        </w:rPr>
        <w:t>.</w:t>
      </w:r>
    </w:p>
    <w:p w14:paraId="16389FEA" w14:textId="5EB4C83F" w:rsidR="007409B2" w:rsidRDefault="007409B2" w:rsidP="007409B2">
      <w:pPr>
        <w:jc w:val="both"/>
      </w:pPr>
      <w:r>
        <w:t xml:space="preserve">Provinces will undergo the stages highlighted under </w:t>
      </w:r>
      <w:r w:rsidRPr="00941A55">
        <w:rPr>
          <w:b/>
          <w:bCs/>
        </w:rPr>
        <w:t>provincial roadmap formulation</w:t>
      </w:r>
      <w:r>
        <w:rPr>
          <w:b/>
          <w:bCs/>
        </w:rPr>
        <w:t xml:space="preserve"> </w:t>
      </w:r>
      <w:r>
        <w:t xml:space="preserve">to prioritize areas of intervention for short, medium and long-term. Based on </w:t>
      </w:r>
      <w:proofErr w:type="gramStart"/>
      <w:r>
        <w:t>these prioritization</w:t>
      </w:r>
      <w:proofErr w:type="gramEnd"/>
      <w:r>
        <w:t xml:space="preserve">, </w:t>
      </w:r>
      <w:proofErr w:type="spellStart"/>
      <w:r>
        <w:t>MoCC</w:t>
      </w:r>
      <w:proofErr w:type="spellEnd"/>
      <w:r>
        <w:t xml:space="preserve"> will be coordinating with provinces and will regularly monitor and evaluate their progress. The quarterly progress reports submitted by provinces will also be a way for provinces to communicate their needs like finances, technical assistance etc. to </w:t>
      </w:r>
      <w:proofErr w:type="spellStart"/>
      <w:r>
        <w:t>MoCC</w:t>
      </w:r>
      <w:proofErr w:type="spellEnd"/>
      <w:r>
        <w:t xml:space="preserve"> to make necessary arrangements. These financial needs will then inform financial framework covered in next section.</w:t>
      </w:r>
    </w:p>
    <w:p w14:paraId="4FE19832" w14:textId="1D3D4E4F" w:rsidR="007409B2" w:rsidRDefault="007409B2" w:rsidP="007409B2">
      <w:pPr>
        <w:jc w:val="both"/>
      </w:pPr>
      <w:r>
        <w:t xml:space="preserve">Based on the national and sub-national situation analysis, following actions with responsibilities and targets were committed in updated </w:t>
      </w:r>
      <w:proofErr w:type="spellStart"/>
      <w:r>
        <w:t>NDCs</w:t>
      </w:r>
      <w:proofErr w:type="spellEnd"/>
      <w:r>
        <w:t>:</w:t>
      </w:r>
    </w:p>
    <w:p w14:paraId="2324302F" w14:textId="01C4896E" w:rsidR="007409B2" w:rsidRPr="00171CA7" w:rsidRDefault="00171CA7" w:rsidP="00171CA7">
      <w:pPr>
        <w:spacing w:line="240" w:lineRule="auto"/>
        <w:jc w:val="center"/>
        <w:rPr>
          <w:rFonts w:cstheme="minorHAnsi"/>
          <w:b/>
          <w:iCs/>
          <w:color w:val="000000" w:themeColor="text1"/>
          <w:szCs w:val="20"/>
        </w:rPr>
      </w:pPr>
      <w:bookmarkStart w:id="0" w:name="_Hlk112063117"/>
      <w:r w:rsidRPr="00272762">
        <w:rPr>
          <w:rFonts w:cstheme="minorHAnsi"/>
          <w:b/>
          <w:iCs/>
          <w:color w:val="000000" w:themeColor="text1"/>
          <w:szCs w:val="20"/>
        </w:rPr>
        <w:t xml:space="preserve">Table </w:t>
      </w:r>
      <w:r w:rsidR="00C528DC">
        <w:rPr>
          <w:rFonts w:cstheme="minorHAnsi"/>
          <w:b/>
          <w:iCs/>
          <w:color w:val="000000" w:themeColor="text1"/>
          <w:szCs w:val="20"/>
          <w:lang w:val="en-US"/>
        </w:rPr>
        <w:t>1</w:t>
      </w:r>
      <w:r w:rsidRPr="00272762">
        <w:rPr>
          <w:rFonts w:cstheme="minorHAnsi"/>
          <w:b/>
          <w:iCs/>
          <w:color w:val="000000" w:themeColor="text1"/>
          <w:szCs w:val="20"/>
        </w:rPr>
        <w:t>: Supporting Adaptation Actions &amp; Indicators</w:t>
      </w:r>
      <w:bookmarkEnd w:id="0"/>
    </w:p>
    <w:tbl>
      <w:tblPr>
        <w:tblStyle w:val="GridTable4-Accent3"/>
        <w:tblW w:w="9788" w:type="dxa"/>
        <w:tblInd w:w="-438" w:type="dxa"/>
        <w:tblLayout w:type="fixed"/>
        <w:tblLook w:val="06A0" w:firstRow="1" w:lastRow="0" w:firstColumn="1" w:lastColumn="0" w:noHBand="1" w:noVBand="1"/>
      </w:tblPr>
      <w:tblGrid>
        <w:gridCol w:w="1567"/>
        <w:gridCol w:w="3079"/>
        <w:gridCol w:w="1462"/>
        <w:gridCol w:w="2263"/>
        <w:gridCol w:w="1417"/>
      </w:tblGrid>
      <w:tr w:rsidR="00171CA7" w:rsidRPr="00EA56F7" w14:paraId="54BDBD31" w14:textId="77777777" w:rsidTr="00162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hideMark/>
          </w:tcPr>
          <w:p w14:paraId="41F3928C" w14:textId="77777777" w:rsidR="00171CA7" w:rsidRPr="00D0524C" w:rsidRDefault="00171CA7" w:rsidP="00CF541E">
            <w:pPr>
              <w:ind w:firstLine="0"/>
              <w:jc w:val="center"/>
              <w:rPr>
                <w:rFonts w:cstheme="minorHAnsi"/>
                <w:b w:val="0"/>
                <w:bCs w:val="0"/>
                <w:color w:val="auto"/>
                <w:szCs w:val="20"/>
              </w:rPr>
            </w:pPr>
            <w:r w:rsidRPr="00D0524C">
              <w:rPr>
                <w:rFonts w:cstheme="minorHAnsi"/>
                <w:color w:val="auto"/>
                <w:szCs w:val="20"/>
              </w:rPr>
              <w:t>Objective</w:t>
            </w:r>
          </w:p>
        </w:tc>
        <w:tc>
          <w:tcPr>
            <w:tcW w:w="3079" w:type="dxa"/>
            <w:hideMark/>
          </w:tcPr>
          <w:p w14:paraId="3849E239" w14:textId="77777777" w:rsidR="00171CA7" w:rsidRPr="00D0524C" w:rsidRDefault="00171CA7" w:rsidP="00CF541E">
            <w:pPr>
              <w:ind w:firstLine="18"/>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Supporting Actions</w:t>
            </w:r>
          </w:p>
        </w:tc>
        <w:tc>
          <w:tcPr>
            <w:tcW w:w="1462" w:type="dxa"/>
            <w:hideMark/>
          </w:tcPr>
          <w:p w14:paraId="057864A0" w14:textId="77777777" w:rsidR="00171CA7" w:rsidRPr="00D0524C" w:rsidRDefault="00171CA7"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Lead Organization</w:t>
            </w:r>
          </w:p>
        </w:tc>
        <w:tc>
          <w:tcPr>
            <w:tcW w:w="2263" w:type="dxa"/>
            <w:hideMark/>
          </w:tcPr>
          <w:p w14:paraId="76B8FF46"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Indicators</w:t>
            </w:r>
          </w:p>
        </w:tc>
        <w:tc>
          <w:tcPr>
            <w:tcW w:w="1417" w:type="dxa"/>
          </w:tcPr>
          <w:p w14:paraId="322626A1"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 xml:space="preserve">Priority by Provinces </w:t>
            </w:r>
          </w:p>
          <w:p w14:paraId="7CA4AE40"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D0524C">
              <w:rPr>
                <w:rFonts w:cstheme="minorHAnsi"/>
                <w:color w:val="auto"/>
                <w:szCs w:val="20"/>
              </w:rPr>
              <w:t>(</w:t>
            </w:r>
            <w:proofErr w:type="gramStart"/>
            <w:r w:rsidRPr="00D0524C">
              <w:rPr>
                <w:rFonts w:cstheme="minorHAnsi"/>
                <w:color w:val="auto"/>
                <w:szCs w:val="20"/>
              </w:rPr>
              <w:t>H,M</w:t>
            </w:r>
            <w:proofErr w:type="gramEnd"/>
            <w:r w:rsidRPr="00D0524C">
              <w:rPr>
                <w:rFonts w:cstheme="minorHAnsi"/>
                <w:color w:val="auto"/>
                <w:szCs w:val="20"/>
              </w:rPr>
              <w:t>,L)</w:t>
            </w:r>
          </w:p>
        </w:tc>
      </w:tr>
      <w:tr w:rsidR="001627E0" w:rsidRPr="00EA56F7" w14:paraId="649A0297" w14:textId="77777777" w:rsidTr="001627E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val="restart"/>
            <w:hideMark/>
          </w:tcPr>
          <w:p w14:paraId="74F29E56" w14:textId="77777777" w:rsidR="001627E0" w:rsidRPr="001627E0" w:rsidRDefault="001627E0" w:rsidP="00CF541E">
            <w:pPr>
              <w:ind w:firstLine="0"/>
              <w:rPr>
                <w:rFonts w:cstheme="minorHAnsi"/>
                <w:sz w:val="20"/>
                <w:szCs w:val="18"/>
              </w:rPr>
            </w:pPr>
            <w:r w:rsidRPr="001627E0">
              <w:rPr>
                <w:rFonts w:cstheme="minorHAnsi"/>
                <w:sz w:val="20"/>
                <w:szCs w:val="18"/>
              </w:rPr>
              <w:t>Improve climate resilience of communities through improved development outcomes in WASH sector</w:t>
            </w:r>
          </w:p>
        </w:tc>
        <w:tc>
          <w:tcPr>
            <w:tcW w:w="3079" w:type="dxa"/>
            <w:hideMark/>
          </w:tcPr>
          <w:p w14:paraId="1AB13328" w14:textId="77777777" w:rsidR="001627E0" w:rsidRPr="001627E0" w:rsidRDefault="001627E0"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1627E0">
              <w:rPr>
                <w:rFonts w:cstheme="minorHAnsi"/>
                <w:sz w:val="20"/>
                <w:szCs w:val="18"/>
              </w:rPr>
              <w:t>Vulnerability analysis for potential adaptation options targeted and designed for specific needs of communities</w:t>
            </w:r>
          </w:p>
        </w:tc>
        <w:tc>
          <w:tcPr>
            <w:tcW w:w="1462" w:type="dxa"/>
            <w:hideMark/>
          </w:tcPr>
          <w:p w14:paraId="1B04429A" w14:textId="77777777" w:rsidR="001627E0" w:rsidRPr="001627E0" w:rsidRDefault="001627E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roofErr w:type="spellStart"/>
            <w:r w:rsidRPr="001627E0">
              <w:rPr>
                <w:rFonts w:cstheme="minorHAnsi"/>
                <w:sz w:val="20"/>
                <w:szCs w:val="18"/>
              </w:rPr>
              <w:t>MoCC</w:t>
            </w:r>
            <w:proofErr w:type="spellEnd"/>
            <w:r w:rsidRPr="001627E0">
              <w:rPr>
                <w:rFonts w:cstheme="minorHAnsi"/>
                <w:sz w:val="20"/>
                <w:szCs w:val="18"/>
              </w:rPr>
              <w:t xml:space="preserve"> (GCISC)/</w:t>
            </w:r>
            <w:r w:rsidRPr="001627E0">
              <w:rPr>
                <w:rFonts w:cstheme="minorHAnsi"/>
                <w:color w:val="000000" w:themeColor="text1"/>
                <w:sz w:val="20"/>
                <w:szCs w:val="18"/>
              </w:rPr>
              <w:t xml:space="preserve"> Provincial department</w:t>
            </w:r>
          </w:p>
        </w:tc>
        <w:tc>
          <w:tcPr>
            <w:tcW w:w="2263" w:type="dxa"/>
            <w:hideMark/>
          </w:tcPr>
          <w:p w14:paraId="0D7BC2D9" w14:textId="77777777" w:rsidR="001627E0" w:rsidRPr="001627E0" w:rsidRDefault="001627E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1627E0">
              <w:rPr>
                <w:rFonts w:cstheme="minorHAnsi"/>
                <w:sz w:val="20"/>
                <w:szCs w:val="18"/>
              </w:rPr>
              <w:t>Number of relevant vulnerability assessment studies undertaken</w:t>
            </w:r>
          </w:p>
        </w:tc>
        <w:tc>
          <w:tcPr>
            <w:tcW w:w="1417" w:type="dxa"/>
          </w:tcPr>
          <w:p w14:paraId="5FEEBB73" w14:textId="77777777" w:rsidR="001627E0" w:rsidRPr="001627E0" w:rsidRDefault="001627E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1627E0" w:rsidRPr="00EA56F7" w14:paraId="63CCE144" w14:textId="77777777" w:rsidTr="001627E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03625691" w14:textId="77777777" w:rsidR="001627E0" w:rsidRPr="001627E0" w:rsidRDefault="001627E0" w:rsidP="00CF541E">
            <w:pPr>
              <w:ind w:firstLine="0"/>
              <w:rPr>
                <w:rFonts w:cstheme="minorHAnsi"/>
                <w:sz w:val="20"/>
                <w:szCs w:val="18"/>
              </w:rPr>
            </w:pPr>
          </w:p>
        </w:tc>
        <w:tc>
          <w:tcPr>
            <w:tcW w:w="3079" w:type="dxa"/>
            <w:hideMark/>
          </w:tcPr>
          <w:p w14:paraId="6E9FA7E1" w14:textId="77777777" w:rsidR="001627E0" w:rsidRPr="001627E0" w:rsidRDefault="001627E0"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1627E0">
              <w:rPr>
                <w:rFonts w:cstheme="minorHAnsi"/>
                <w:sz w:val="20"/>
                <w:szCs w:val="18"/>
              </w:rPr>
              <w:t xml:space="preserve">Adopt low cost, climate resilient technology available for infrastructure </w:t>
            </w:r>
          </w:p>
        </w:tc>
        <w:tc>
          <w:tcPr>
            <w:tcW w:w="1462" w:type="dxa"/>
            <w:hideMark/>
          </w:tcPr>
          <w:p w14:paraId="7DF84D35" w14:textId="77777777" w:rsidR="001627E0" w:rsidRPr="001627E0" w:rsidRDefault="001627E0"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roofErr w:type="spellStart"/>
            <w:r w:rsidRPr="001627E0">
              <w:rPr>
                <w:rFonts w:cstheme="minorHAnsi"/>
                <w:sz w:val="20"/>
                <w:szCs w:val="18"/>
              </w:rPr>
              <w:t>MoCC</w:t>
            </w:r>
            <w:proofErr w:type="spellEnd"/>
            <w:r w:rsidRPr="001627E0">
              <w:rPr>
                <w:rFonts w:cstheme="minorHAnsi"/>
                <w:sz w:val="20"/>
                <w:szCs w:val="18"/>
              </w:rPr>
              <w:t>/</w:t>
            </w:r>
            <w:r w:rsidRPr="001627E0">
              <w:rPr>
                <w:rFonts w:cstheme="minorHAnsi"/>
                <w:color w:val="000000" w:themeColor="text1"/>
                <w:sz w:val="20"/>
                <w:szCs w:val="18"/>
              </w:rPr>
              <w:t xml:space="preserve"> Provincial department</w:t>
            </w:r>
          </w:p>
        </w:tc>
        <w:tc>
          <w:tcPr>
            <w:tcW w:w="2263" w:type="dxa"/>
            <w:hideMark/>
          </w:tcPr>
          <w:p w14:paraId="39B6EECE" w14:textId="77777777" w:rsidR="001627E0" w:rsidRPr="001627E0" w:rsidRDefault="001627E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1627E0">
              <w:rPr>
                <w:rFonts w:cstheme="minorHAnsi"/>
                <w:sz w:val="20"/>
                <w:szCs w:val="18"/>
              </w:rPr>
              <w:t>Number of low-cost climate resilient technologies piloted</w:t>
            </w:r>
          </w:p>
        </w:tc>
        <w:tc>
          <w:tcPr>
            <w:tcW w:w="1417" w:type="dxa"/>
          </w:tcPr>
          <w:p w14:paraId="39F414C0" w14:textId="77777777" w:rsidR="001627E0" w:rsidRPr="001627E0" w:rsidRDefault="001627E0"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1627E0" w:rsidRPr="00EA56F7" w14:paraId="0DAFAD35" w14:textId="77777777" w:rsidTr="001627E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45EACD89" w14:textId="77777777" w:rsidR="001627E0" w:rsidRPr="001627E0" w:rsidRDefault="001627E0" w:rsidP="00CF541E">
            <w:pPr>
              <w:ind w:firstLine="0"/>
              <w:rPr>
                <w:rFonts w:cstheme="minorHAnsi"/>
                <w:sz w:val="20"/>
                <w:szCs w:val="18"/>
              </w:rPr>
            </w:pPr>
          </w:p>
        </w:tc>
        <w:tc>
          <w:tcPr>
            <w:tcW w:w="3079" w:type="dxa"/>
            <w:hideMark/>
          </w:tcPr>
          <w:p w14:paraId="5BDBE6D2" w14:textId="77777777" w:rsidR="001627E0" w:rsidRPr="001627E0" w:rsidRDefault="001627E0"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1627E0">
              <w:rPr>
                <w:rFonts w:cstheme="minorHAnsi"/>
                <w:sz w:val="20"/>
                <w:szCs w:val="18"/>
              </w:rPr>
              <w:t>Explore opportunity for metered water supply on cost recovery basis</w:t>
            </w:r>
          </w:p>
        </w:tc>
        <w:tc>
          <w:tcPr>
            <w:tcW w:w="1462" w:type="dxa"/>
            <w:hideMark/>
          </w:tcPr>
          <w:p w14:paraId="1E32EF44" w14:textId="77777777" w:rsidR="001627E0" w:rsidRPr="001627E0" w:rsidRDefault="001627E0"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roofErr w:type="spellStart"/>
            <w:r w:rsidRPr="001627E0">
              <w:rPr>
                <w:rFonts w:cstheme="minorHAnsi"/>
                <w:sz w:val="20"/>
                <w:szCs w:val="18"/>
              </w:rPr>
              <w:t>MoCC</w:t>
            </w:r>
            <w:proofErr w:type="spellEnd"/>
            <w:r w:rsidRPr="001627E0">
              <w:rPr>
                <w:rFonts w:cstheme="minorHAnsi"/>
                <w:sz w:val="20"/>
                <w:szCs w:val="18"/>
              </w:rPr>
              <w:t>/</w:t>
            </w:r>
            <w:r w:rsidRPr="001627E0">
              <w:rPr>
                <w:rFonts w:cstheme="minorHAnsi"/>
                <w:color w:val="000000" w:themeColor="text1"/>
                <w:sz w:val="20"/>
                <w:szCs w:val="18"/>
              </w:rPr>
              <w:t xml:space="preserve"> Provincial department</w:t>
            </w:r>
          </w:p>
        </w:tc>
        <w:tc>
          <w:tcPr>
            <w:tcW w:w="2263" w:type="dxa"/>
            <w:hideMark/>
          </w:tcPr>
          <w:p w14:paraId="2311C98A" w14:textId="77777777" w:rsidR="001627E0" w:rsidRPr="001627E0" w:rsidRDefault="001627E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1627E0">
              <w:rPr>
                <w:rFonts w:cstheme="minorHAnsi"/>
                <w:sz w:val="20"/>
                <w:szCs w:val="18"/>
              </w:rPr>
              <w:t>Number of pilots rolled out for metered water supply</w:t>
            </w:r>
          </w:p>
        </w:tc>
        <w:tc>
          <w:tcPr>
            <w:tcW w:w="1417" w:type="dxa"/>
          </w:tcPr>
          <w:p w14:paraId="7C6D71B2" w14:textId="77777777" w:rsidR="001627E0" w:rsidRPr="001627E0" w:rsidRDefault="001627E0"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bl>
    <w:p w14:paraId="4D140B36" w14:textId="14FEED76" w:rsidR="00D0524C" w:rsidRDefault="00D0524C" w:rsidP="007409B2">
      <w:pPr>
        <w:jc w:val="both"/>
      </w:pPr>
    </w:p>
    <w:p w14:paraId="24CC55A9" w14:textId="5C2BBF3E" w:rsidR="00213124" w:rsidRDefault="00213124">
      <w:pPr>
        <w:rPr>
          <w:b/>
          <w:bCs/>
          <w:lang w:val="en-US"/>
        </w:rPr>
      </w:pPr>
      <w:r>
        <w:rPr>
          <w:b/>
          <w:bCs/>
          <w:lang w:val="en-US"/>
        </w:rPr>
        <w:br w:type="page"/>
      </w:r>
    </w:p>
    <w:p w14:paraId="15549DD8" w14:textId="77777777" w:rsidR="007409B2" w:rsidRPr="007409B2" w:rsidRDefault="007409B2" w:rsidP="004C52D8">
      <w:pPr>
        <w:rPr>
          <w:b/>
          <w:bCs/>
          <w:lang w:val="en-US"/>
        </w:rPr>
      </w:pPr>
      <w:bookmarkStart w:id="1" w:name="_GoBack"/>
      <w:bookmarkEnd w:id="1"/>
    </w:p>
    <w:sectPr w:rsidR="007409B2" w:rsidRPr="007409B2" w:rsidSect="004C52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18301" w14:textId="77777777" w:rsidR="00BB266D" w:rsidRDefault="00BB266D" w:rsidP="007409B2">
      <w:pPr>
        <w:spacing w:after="0" w:line="240" w:lineRule="auto"/>
      </w:pPr>
      <w:r>
        <w:separator/>
      </w:r>
    </w:p>
  </w:endnote>
  <w:endnote w:type="continuationSeparator" w:id="0">
    <w:p w14:paraId="7D9580DF" w14:textId="77777777" w:rsidR="00BB266D" w:rsidRDefault="00BB266D" w:rsidP="007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5B91" w14:textId="77777777" w:rsidR="00BB266D" w:rsidRDefault="00BB266D" w:rsidP="007409B2">
      <w:pPr>
        <w:spacing w:after="0" w:line="240" w:lineRule="auto"/>
      </w:pPr>
      <w:r>
        <w:separator/>
      </w:r>
    </w:p>
  </w:footnote>
  <w:footnote w:type="continuationSeparator" w:id="0">
    <w:p w14:paraId="46B08402" w14:textId="77777777" w:rsidR="00BB266D" w:rsidRDefault="00BB266D" w:rsidP="007409B2">
      <w:pPr>
        <w:spacing w:after="0" w:line="240" w:lineRule="auto"/>
      </w:pPr>
      <w:r>
        <w:continuationSeparator/>
      </w:r>
    </w:p>
  </w:footnote>
  <w:footnote w:id="1">
    <w:p w14:paraId="7277FC94" w14:textId="77777777" w:rsidR="007409B2" w:rsidRPr="00D430E8" w:rsidRDefault="007409B2" w:rsidP="007409B2">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w:t>
      </w:r>
      <w:proofErr w:type="spellStart"/>
      <w:r w:rsidRPr="00D430E8">
        <w:rPr>
          <w:rFonts w:cstheme="minorHAnsi"/>
          <w:sz w:val="18"/>
          <w:szCs w:val="18"/>
        </w:rPr>
        <w:t>GermanWatch</w:t>
      </w:r>
      <w:proofErr w:type="spellEnd"/>
      <w:r w:rsidRPr="00D430E8">
        <w:rPr>
          <w:rFonts w:cstheme="minorHAnsi"/>
          <w:sz w:val="18"/>
          <w:szCs w:val="18"/>
        </w:rPr>
        <w:t xml:space="preserve"> Climate Risk Index 2021 Available at: https://germanwatch.org/en/19777</w:t>
      </w:r>
    </w:p>
  </w:footnote>
  <w:footnote w:id="2">
    <w:p w14:paraId="0021BA6C" w14:textId="77777777" w:rsidR="007409B2" w:rsidRDefault="007409B2" w:rsidP="007409B2">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28F97011" w14:textId="77777777" w:rsidR="007409B2" w:rsidRDefault="007409B2" w:rsidP="007409B2">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B2"/>
    <w:rsid w:val="001627E0"/>
    <w:rsid w:val="00171CA7"/>
    <w:rsid w:val="00213124"/>
    <w:rsid w:val="00327B4F"/>
    <w:rsid w:val="003E77E7"/>
    <w:rsid w:val="00441C58"/>
    <w:rsid w:val="004C52D8"/>
    <w:rsid w:val="006B78EC"/>
    <w:rsid w:val="006C2DFA"/>
    <w:rsid w:val="0072414E"/>
    <w:rsid w:val="007409B2"/>
    <w:rsid w:val="007901C1"/>
    <w:rsid w:val="00845BB8"/>
    <w:rsid w:val="008B4CFA"/>
    <w:rsid w:val="00936DF1"/>
    <w:rsid w:val="00AD3990"/>
    <w:rsid w:val="00BB266D"/>
    <w:rsid w:val="00C528DC"/>
    <w:rsid w:val="00CE77EC"/>
    <w:rsid w:val="00D0524C"/>
    <w:rsid w:val="00E306A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89F1"/>
  <w15:chartTrackingRefBased/>
  <w15:docId w15:val="{E6579F9A-3911-47DD-B734-38E2B34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lang w:val="en-US"/>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lang w:val="en-US"/>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lang w:val="en-US"/>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lang w:val="en-US"/>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lang w:val="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styleId="GridTable4-Accent3">
    <w:name w:val="Grid Table 4 Accent 3"/>
    <w:basedOn w:val="TableNormal"/>
    <w:uiPriority w:val="49"/>
    <w:rsid w:val="007409B2"/>
    <w:pPr>
      <w:spacing w:after="0" w:line="240" w:lineRule="auto"/>
      <w:ind w:firstLine="360"/>
    </w:pPr>
    <w:rPr>
      <w:rFonts w:eastAsiaTheme="minorEastAsia"/>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Ingen">
    <w:name w:val="Ingen"/>
    <w:rsid w:val="0017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Samreen Liaqat</cp:lastModifiedBy>
  <cp:revision>5</cp:revision>
  <dcterms:created xsi:type="dcterms:W3CDTF">2022-08-22T08:21:00Z</dcterms:created>
  <dcterms:modified xsi:type="dcterms:W3CDTF">2022-08-22T09:00:00Z</dcterms:modified>
</cp:coreProperties>
</file>